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9639" w:type="dxa"/>
        <w:tblBorders>
          <w:left w:val="none" w:sz="0" w:space="0" w:color="auto"/>
          <w:right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516"/>
        <w:gridCol w:w="1514"/>
        <w:gridCol w:w="4491"/>
        <w:gridCol w:w="567"/>
        <w:gridCol w:w="2551"/>
      </w:tblGrid>
      <w:tr w:rsidR="0082020C" w:rsidTr="00942D1A">
        <w:tc>
          <w:tcPr>
            <w:tcW w:w="2030" w:type="dxa"/>
            <w:gridSpan w:val="2"/>
          </w:tcPr>
          <w:p w:rsidR="0082020C" w:rsidRPr="0018144C" w:rsidRDefault="0082020C" w:rsidP="00D65B56">
            <w:pPr>
              <w:pStyle w:val="Headerdetails"/>
              <w:rPr>
                <w:b/>
              </w:rPr>
            </w:pPr>
            <w:r w:rsidRPr="0018144C">
              <w:rPr>
                <w:b/>
              </w:rPr>
              <w:t>Meeting title:</w:t>
            </w:r>
          </w:p>
        </w:tc>
        <w:tc>
          <w:tcPr>
            <w:tcW w:w="7609" w:type="dxa"/>
            <w:gridSpan w:val="3"/>
          </w:tcPr>
          <w:p w:rsidR="0082020C" w:rsidRDefault="001D12E5" w:rsidP="00D65B56">
            <w:pPr>
              <w:pStyle w:val="Headerdetails"/>
            </w:pPr>
            <w:r>
              <w:t>DataPool Steering Group Meeting</w:t>
            </w:r>
          </w:p>
        </w:tc>
      </w:tr>
      <w:tr w:rsidR="0082020C" w:rsidTr="00942D1A">
        <w:tc>
          <w:tcPr>
            <w:tcW w:w="2030" w:type="dxa"/>
            <w:gridSpan w:val="2"/>
          </w:tcPr>
          <w:p w:rsidR="0082020C" w:rsidRPr="0018144C" w:rsidRDefault="0082020C" w:rsidP="00D65B56">
            <w:pPr>
              <w:pStyle w:val="Headerdetails"/>
              <w:rPr>
                <w:b/>
              </w:rPr>
            </w:pPr>
            <w:r w:rsidRPr="0018144C">
              <w:rPr>
                <w:b/>
              </w:rPr>
              <w:t>Date:</w:t>
            </w:r>
          </w:p>
        </w:tc>
        <w:tc>
          <w:tcPr>
            <w:tcW w:w="4491" w:type="dxa"/>
          </w:tcPr>
          <w:p w:rsidR="0082020C" w:rsidRDefault="00C069C7" w:rsidP="00D65B56">
            <w:pPr>
              <w:pStyle w:val="Headerdetails"/>
            </w:pPr>
            <w:r>
              <w:t>12</w:t>
            </w:r>
            <w:r w:rsidRPr="00C069C7">
              <w:rPr>
                <w:vertAlign w:val="superscript"/>
              </w:rPr>
              <w:t>th</w:t>
            </w:r>
            <w:r>
              <w:t xml:space="preserve"> November</w:t>
            </w:r>
            <w:r w:rsidR="001D12E5">
              <w:t xml:space="preserve"> 2012</w:t>
            </w:r>
          </w:p>
        </w:tc>
        <w:tc>
          <w:tcPr>
            <w:tcW w:w="567" w:type="dxa"/>
          </w:tcPr>
          <w:p w:rsidR="0082020C" w:rsidRPr="0018144C" w:rsidRDefault="0082020C" w:rsidP="00D65B56">
            <w:pPr>
              <w:pStyle w:val="Headerdetails"/>
              <w:rPr>
                <w:b/>
              </w:rPr>
            </w:pPr>
            <w:r w:rsidRPr="0018144C">
              <w:rPr>
                <w:b/>
              </w:rPr>
              <w:t>Time: </w:t>
            </w:r>
          </w:p>
        </w:tc>
        <w:tc>
          <w:tcPr>
            <w:tcW w:w="2551" w:type="dxa"/>
          </w:tcPr>
          <w:p w:rsidR="0082020C" w:rsidRDefault="001D12E5" w:rsidP="00D65B56">
            <w:pPr>
              <w:pStyle w:val="Headerdetails"/>
            </w:pPr>
            <w:r>
              <w:t>12:30-15:30</w:t>
            </w:r>
          </w:p>
        </w:tc>
      </w:tr>
      <w:tr w:rsidR="0082020C" w:rsidTr="00942D1A">
        <w:tc>
          <w:tcPr>
            <w:tcW w:w="2030" w:type="dxa"/>
            <w:gridSpan w:val="2"/>
          </w:tcPr>
          <w:p w:rsidR="0082020C" w:rsidRPr="0018144C" w:rsidRDefault="0082020C" w:rsidP="00D65B56">
            <w:pPr>
              <w:pStyle w:val="Headerdetails"/>
              <w:rPr>
                <w:b/>
              </w:rPr>
            </w:pPr>
            <w:r w:rsidRPr="0018144C">
              <w:rPr>
                <w:b/>
              </w:rPr>
              <w:t>Location:</w:t>
            </w:r>
          </w:p>
        </w:tc>
        <w:tc>
          <w:tcPr>
            <w:tcW w:w="7609" w:type="dxa"/>
            <w:gridSpan w:val="3"/>
          </w:tcPr>
          <w:p w:rsidR="0082020C" w:rsidRDefault="001D12E5" w:rsidP="00D65B56">
            <w:pPr>
              <w:pStyle w:val="Headerdetails"/>
            </w:pPr>
            <w:r>
              <w:t>John Roberts Room, Staff Social Centre (B38), Highfield Campus, University of Southampton</w:t>
            </w:r>
          </w:p>
        </w:tc>
      </w:tr>
      <w:tr w:rsidR="005F5A93" w:rsidTr="00942D1A">
        <w:tc>
          <w:tcPr>
            <w:tcW w:w="2030" w:type="dxa"/>
            <w:gridSpan w:val="2"/>
          </w:tcPr>
          <w:p w:rsidR="005F5A93" w:rsidRPr="0018144C" w:rsidRDefault="005F5A93" w:rsidP="00942D1A">
            <w:pPr>
              <w:pStyle w:val="Headerdetails"/>
              <w:rPr>
                <w:b/>
              </w:rPr>
            </w:pPr>
            <w:r>
              <w:rPr>
                <w:b/>
              </w:rPr>
              <w:t>Present</w:t>
            </w:r>
            <w:r w:rsidRPr="0018144C">
              <w:rPr>
                <w:b/>
              </w:rPr>
              <w:t>:</w:t>
            </w:r>
          </w:p>
        </w:tc>
        <w:tc>
          <w:tcPr>
            <w:tcW w:w="7609" w:type="dxa"/>
            <w:gridSpan w:val="3"/>
          </w:tcPr>
          <w:p w:rsidR="00E500B2" w:rsidRDefault="00E500B2" w:rsidP="00D2398B">
            <w:pPr>
              <w:pStyle w:val="Headerdetails"/>
            </w:pPr>
            <w:r>
              <w:t>Dr M. Brown; Dr L Carr; Prof S Cox; Dr G. Earl; Prof J Frey; Prof P. Nelson (Pro VC Research); M. Ployaert; W. White (Chair); .</w:t>
            </w:r>
            <w:r w:rsidR="00D2398B">
              <w:t xml:space="preserve">Dr </w:t>
            </w:r>
            <w:r>
              <w:t>O Parchment</w:t>
            </w:r>
            <w:r w:rsidR="00D2398B">
              <w:t xml:space="preserve"> (on behalf Dr P. Hancock)</w:t>
            </w:r>
          </w:p>
          <w:p w:rsidR="00E500B2" w:rsidRDefault="00E500B2" w:rsidP="00E500B2">
            <w:pPr>
              <w:pStyle w:val="Headerdetails"/>
            </w:pPr>
            <w:r>
              <w:t xml:space="preserve">L. </w:t>
            </w:r>
            <w:proofErr w:type="spellStart"/>
            <w:r>
              <w:t>Corti</w:t>
            </w:r>
            <w:proofErr w:type="spellEnd"/>
            <w:r>
              <w:t xml:space="preserve"> (Associate Director, UK Data Archive, University of Essex); Dr H. Snaith; NERC</w:t>
            </w:r>
          </w:p>
          <w:p w:rsidR="005F5A93" w:rsidRDefault="00E500B2" w:rsidP="00E500B2">
            <w:pPr>
              <w:pStyle w:val="Headerdetails"/>
            </w:pPr>
            <w:r>
              <w:t>Project Managers: D. Byatt; Dr S. Hitchcock</w:t>
            </w:r>
          </w:p>
        </w:tc>
      </w:tr>
      <w:tr w:rsidR="0082020C" w:rsidTr="00942D1A">
        <w:tc>
          <w:tcPr>
            <w:tcW w:w="2030" w:type="dxa"/>
            <w:gridSpan w:val="2"/>
          </w:tcPr>
          <w:p w:rsidR="0082020C" w:rsidRPr="0018144C" w:rsidRDefault="005F5A93" w:rsidP="00D65B56">
            <w:pPr>
              <w:pStyle w:val="Headerdetails"/>
              <w:rPr>
                <w:b/>
              </w:rPr>
            </w:pPr>
            <w:r>
              <w:rPr>
                <w:b/>
              </w:rPr>
              <w:t>Apologies</w:t>
            </w:r>
            <w:r w:rsidR="0082020C" w:rsidRPr="0018144C">
              <w:rPr>
                <w:b/>
              </w:rPr>
              <w:t>:</w:t>
            </w:r>
          </w:p>
        </w:tc>
        <w:tc>
          <w:tcPr>
            <w:tcW w:w="7609" w:type="dxa"/>
            <w:gridSpan w:val="3"/>
          </w:tcPr>
          <w:p w:rsidR="00071653" w:rsidRDefault="00E500B2" w:rsidP="00E500B2">
            <w:pPr>
              <w:pStyle w:val="Headerdetails"/>
            </w:pPr>
            <w:r>
              <w:t>Prof A. Wheeler (Provost and DVC); G. Pryor (Associate Director, Digital Curation Centre, Edinburgh); S. Rumsey (Digital Collections Development Manager, Bodleian Libraries, University of Oxford); Dr P. Hancock;</w:t>
            </w:r>
          </w:p>
        </w:tc>
      </w:tr>
      <w:tr w:rsidR="005F5A93" w:rsidTr="00853792">
        <w:trPr>
          <w:trHeight w:val="233"/>
        </w:trPr>
        <w:tc>
          <w:tcPr>
            <w:tcW w:w="2030" w:type="dxa"/>
            <w:gridSpan w:val="2"/>
          </w:tcPr>
          <w:p w:rsidR="005F5A93" w:rsidRDefault="005F5A93" w:rsidP="00D65B56">
            <w:pPr>
              <w:pStyle w:val="Headerdetails"/>
              <w:rPr>
                <w:b/>
              </w:rPr>
            </w:pPr>
          </w:p>
        </w:tc>
        <w:tc>
          <w:tcPr>
            <w:tcW w:w="7609" w:type="dxa"/>
            <w:gridSpan w:val="3"/>
          </w:tcPr>
          <w:p w:rsidR="005F5A93" w:rsidRDefault="005F5A93" w:rsidP="00D65B56">
            <w:pPr>
              <w:pStyle w:val="Headerdetails"/>
            </w:pPr>
          </w:p>
        </w:tc>
      </w:tr>
      <w:tr w:rsidR="002436F4" w:rsidRPr="00942D1A"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rPr>
          <w:trHeight w:val="41"/>
        </w:trPr>
        <w:tc>
          <w:tcPr>
            <w:tcW w:w="516" w:type="dxa"/>
          </w:tcPr>
          <w:p w:rsidR="002436F4" w:rsidRPr="00942D1A" w:rsidRDefault="002436F4" w:rsidP="00942D1A">
            <w:pPr>
              <w:rPr>
                <w:b/>
              </w:rPr>
            </w:pPr>
          </w:p>
        </w:tc>
        <w:tc>
          <w:tcPr>
            <w:tcW w:w="9123" w:type="dxa"/>
            <w:gridSpan w:val="4"/>
          </w:tcPr>
          <w:p w:rsidR="002436F4" w:rsidRPr="00942D1A" w:rsidRDefault="002436F4" w:rsidP="00942D1A">
            <w:pPr>
              <w:rPr>
                <w:b/>
              </w:rPr>
            </w:pPr>
            <w:r w:rsidRPr="00942D1A">
              <w:rPr>
                <w:b/>
              </w:rPr>
              <w:t>Agenda item</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Pr="00C60DAF" w:rsidRDefault="00D2398B" w:rsidP="00C60DAF">
            <w:pPr>
              <w:rPr>
                <w:b/>
                <w:bCs/>
              </w:rPr>
            </w:pPr>
            <w:r>
              <w:rPr>
                <w:b/>
                <w:bCs/>
              </w:rPr>
              <w:t>Minutes</w:t>
            </w:r>
          </w:p>
          <w:p w:rsidR="002436F4" w:rsidRDefault="00ED3BCF" w:rsidP="004A4A9E">
            <w:r>
              <w:t>The previous minutes were accepted</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D2398B" w:rsidP="00D2398B">
            <w:pPr>
              <w:pStyle w:val="AgendaItem"/>
              <w:numPr>
                <w:ilvl w:val="0"/>
                <w:numId w:val="0"/>
              </w:numPr>
              <w:spacing w:after="60"/>
            </w:pPr>
            <w:r>
              <w:rPr>
                <w:b/>
                <w:bCs/>
              </w:rPr>
              <w:t>Matters Arising</w:t>
            </w:r>
            <w:r w:rsidR="00ED3BCF">
              <w:rPr>
                <w:b/>
                <w:bCs/>
              </w:rPr>
              <w:t xml:space="preserve"> and Update Report</w:t>
            </w:r>
          </w:p>
          <w:p w:rsidR="002436F4" w:rsidRDefault="00652F63" w:rsidP="00853792">
            <w:pPr>
              <w:pStyle w:val="ListParagraph"/>
              <w:numPr>
                <w:ilvl w:val="0"/>
                <w:numId w:val="48"/>
              </w:numPr>
              <w:ind w:left="360"/>
              <w:rPr>
                <w:b/>
                <w:bCs/>
              </w:rPr>
            </w:pPr>
            <w:r w:rsidRPr="00652F63">
              <w:rPr>
                <w:b/>
                <w:bCs/>
              </w:rPr>
              <w:t>Criteria to identify significant data</w:t>
            </w:r>
          </w:p>
          <w:p w:rsidR="00652F63" w:rsidRPr="00652F63" w:rsidRDefault="00652F63" w:rsidP="00853792">
            <w:pPr>
              <w:ind w:left="360"/>
            </w:pPr>
            <w:r>
              <w:t xml:space="preserve">This is a work in progress and is being informed by some of the data interviews that have been taking place.  J Frey directed the </w:t>
            </w:r>
            <w:proofErr w:type="gramStart"/>
            <w:r>
              <w:t>groups</w:t>
            </w:r>
            <w:proofErr w:type="gramEnd"/>
            <w:r>
              <w:t xml:space="preserve"> attention to the concept of “intelligent access” in the context of the recent Royal Society report </w:t>
            </w:r>
            <w:r w:rsidRPr="00652F63">
              <w:rPr>
                <w:i/>
                <w:iCs/>
              </w:rPr>
              <w:t>“Science as an open enterprise</w:t>
            </w:r>
            <w:r>
              <w:t>” (</w:t>
            </w:r>
            <w:hyperlink r:id="rId8" w:history="1">
              <w:r w:rsidRPr="005D35E2">
                <w:rPr>
                  <w:rStyle w:val="Hyperlink"/>
                </w:rPr>
                <w:t>http://royalsociety.org/policy/projects/science-public-enterprise/report/</w:t>
              </w:r>
            </w:hyperlink>
            <w:r>
              <w:t>).  This suggests it is a case of “not all, not immediate”</w:t>
            </w:r>
            <w:r w:rsidR="00D47169">
              <w:t xml:space="preserve"> with the key question being “Does the data support the endeavour?”</w:t>
            </w:r>
          </w:p>
          <w:p w:rsidR="00652F63" w:rsidRDefault="00652F63" w:rsidP="00853792">
            <w:pPr>
              <w:pStyle w:val="ListParagraph"/>
              <w:numPr>
                <w:ilvl w:val="0"/>
                <w:numId w:val="48"/>
              </w:numPr>
              <w:ind w:left="360"/>
              <w:rPr>
                <w:b/>
                <w:bCs/>
              </w:rPr>
            </w:pPr>
            <w:r>
              <w:rPr>
                <w:b/>
                <w:bCs/>
              </w:rPr>
              <w:t>Additional Guidance topics</w:t>
            </w:r>
          </w:p>
          <w:p w:rsidR="00D47169" w:rsidRDefault="00D47169" w:rsidP="00853792">
            <w:pPr>
              <w:ind w:left="360"/>
            </w:pPr>
            <w:r>
              <w:t>The existing topics already covered were listed and a request for advice on further topics was made.  There was a comment on the heading “</w:t>
            </w:r>
            <w:r w:rsidRPr="00D47169">
              <w:t>Restricting Access to Research Data</w:t>
            </w:r>
            <w:r>
              <w:t xml:space="preserve">” as this was </w:t>
            </w:r>
            <w:r w:rsidR="0089283D">
              <w:t xml:space="preserve">thought to be </w:t>
            </w:r>
            <w:r>
              <w:t xml:space="preserve">quite negative.  This was accepted by the Group, but the section had been written to address specific concerns identified within the University during the Policy development process.  An earlier section did address the </w:t>
            </w:r>
            <w:r w:rsidR="00B52B31">
              <w:t>issues around sharing</w:t>
            </w:r>
          </w:p>
          <w:p w:rsidR="00D47169" w:rsidRPr="00D47169" w:rsidRDefault="00D47169" w:rsidP="00853792">
            <w:pPr>
              <w:ind w:left="360"/>
            </w:pPr>
            <w:r>
              <w:rPr>
                <w:b/>
                <w:bCs/>
              </w:rPr>
              <w:t xml:space="preserve">Action: </w:t>
            </w:r>
            <w:r w:rsidR="00B52B31">
              <w:t>Project to consider alternative heading</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D2398B" w:rsidP="00787B78">
            <w:pPr>
              <w:pStyle w:val="AgendaItem"/>
              <w:numPr>
                <w:ilvl w:val="0"/>
                <w:numId w:val="0"/>
              </w:numPr>
              <w:spacing w:after="60"/>
              <w:rPr>
                <w:b/>
                <w:bCs/>
              </w:rPr>
            </w:pPr>
            <w:r>
              <w:rPr>
                <w:b/>
                <w:bCs/>
              </w:rPr>
              <w:t>Policy engagement and integrated service support</w:t>
            </w:r>
          </w:p>
          <w:p w:rsidR="0089283D" w:rsidRDefault="00E93221" w:rsidP="00F12132">
            <w:pPr>
              <w:pStyle w:val="AgendaItem"/>
              <w:numPr>
                <w:ilvl w:val="0"/>
                <w:numId w:val="0"/>
              </w:numPr>
              <w:spacing w:after="60"/>
            </w:pPr>
            <w:r>
              <w:rPr>
                <w:rFonts w:ascii="Tahoma" w:hAnsi="Tahoma" w:cs="Tahoma"/>
                <w:color w:val="000000"/>
                <w:sz w:val="20"/>
                <w:szCs w:val="20"/>
              </w:rPr>
              <w:t>There was a useful discussion about the balance of individual expertise/networks and service structure in order to ensure a robust service.</w:t>
            </w:r>
          </w:p>
          <w:p w:rsidR="0089283D" w:rsidRDefault="0089283D" w:rsidP="00F12132">
            <w:pPr>
              <w:pStyle w:val="AgendaItem"/>
              <w:numPr>
                <w:ilvl w:val="0"/>
                <w:numId w:val="0"/>
              </w:numPr>
              <w:spacing w:after="60"/>
            </w:pPr>
            <w:r>
              <w:t>NERC have moved to a more formal requirement for a plan, albeit a short one page document, with the aim of identifying cost</w:t>
            </w:r>
            <w:r w:rsidR="00F12132">
              <w:t>.</w:t>
            </w:r>
          </w:p>
          <w:p w:rsidR="002436F4" w:rsidRDefault="0089283D" w:rsidP="00F12132">
            <w:pPr>
              <w:pStyle w:val="AgendaItem"/>
              <w:numPr>
                <w:ilvl w:val="0"/>
                <w:numId w:val="0"/>
              </w:numPr>
              <w:spacing w:after="60"/>
            </w:pPr>
            <w:r>
              <w:t>Further development should involve contracts staff especially as they may have very useful c</w:t>
            </w:r>
            <w:r w:rsidR="00F12132">
              <w:t>ontacts within the organisation.</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D2398B">
            <w:pPr>
              <w:pStyle w:val="AgendaItem"/>
              <w:numPr>
                <w:ilvl w:val="0"/>
                <w:numId w:val="0"/>
              </w:numPr>
              <w:spacing w:after="60"/>
            </w:pPr>
            <w:r w:rsidRPr="004A4A9E">
              <w:rPr>
                <w:b/>
                <w:bCs/>
              </w:rPr>
              <w:t xml:space="preserve">Training </w:t>
            </w:r>
            <w:r w:rsidR="00D2398B">
              <w:rPr>
                <w:b/>
                <w:bCs/>
              </w:rPr>
              <w:t>model</w:t>
            </w:r>
          </w:p>
          <w:p w:rsidR="002436F4" w:rsidRDefault="00E93221" w:rsidP="00E93221">
            <w:pPr>
              <w:pStyle w:val="AgendaItem"/>
              <w:numPr>
                <w:ilvl w:val="0"/>
                <w:numId w:val="0"/>
              </w:numPr>
              <w:spacing w:after="60"/>
            </w:pPr>
            <w:r>
              <w:rPr>
                <w:rFonts w:ascii="Tahoma" w:hAnsi="Tahoma" w:cs="Tahoma"/>
                <w:color w:val="000000"/>
                <w:sz w:val="20"/>
                <w:szCs w:val="20"/>
              </w:rPr>
              <w:t>Increasingly there is a more co-ordinated approach to training and support for post-doctoral researchers in the institution</w:t>
            </w:r>
            <w:r>
              <w:rPr>
                <w:rFonts w:ascii="Tahoma" w:hAnsi="Tahoma" w:cs="Tahoma"/>
                <w:color w:val="000000"/>
                <w:sz w:val="20"/>
                <w:szCs w:val="20"/>
              </w:rPr>
              <w:t>.</w:t>
            </w:r>
            <w:r>
              <w:rPr>
                <w:rFonts w:ascii="Tahoma" w:hAnsi="Tahoma" w:cs="Tahoma"/>
                <w:color w:val="000000"/>
                <w:sz w:val="20"/>
                <w:szCs w:val="20"/>
              </w:rPr>
              <w:t xml:space="preserve"> </w:t>
            </w:r>
            <w:r w:rsidR="00F12132">
              <w:t>Although some ‘special’ training takes place there is a move to harness the knowledge and expertise in providing such support. R</w:t>
            </w:r>
            <w:r>
              <w:t>esearch data management</w:t>
            </w:r>
            <w:r w:rsidR="00F12132">
              <w:t xml:space="preserve"> training will make use of this.</w:t>
            </w:r>
          </w:p>
          <w:p w:rsidR="00F12132" w:rsidRDefault="00E93221" w:rsidP="00E93221">
            <w:pPr>
              <w:pStyle w:val="AgendaItem"/>
              <w:numPr>
                <w:ilvl w:val="0"/>
                <w:numId w:val="0"/>
              </w:numPr>
              <w:spacing w:after="60"/>
            </w:pPr>
            <w:r>
              <w:rPr>
                <w:rFonts w:ascii="Tahoma" w:hAnsi="Tahoma" w:cs="Tahoma"/>
                <w:color w:val="000000"/>
                <w:sz w:val="20"/>
                <w:szCs w:val="20"/>
              </w:rPr>
              <w:t>The Steering Group emphasised the need to raise awareness of the role of good data management from the start.</w:t>
            </w:r>
            <w:r w:rsidR="00F12132">
              <w:t xml:space="preserve">  </w:t>
            </w:r>
            <w:r>
              <w:t>Post graduate training will be co-delivered with a PhD and Library or other appropriate staff</w:t>
            </w:r>
            <w:r>
              <w:t>.</w:t>
            </w:r>
          </w:p>
          <w:p w:rsidR="00532B61" w:rsidRDefault="00F12132" w:rsidP="00F12132">
            <w:pPr>
              <w:pStyle w:val="AgendaItem"/>
              <w:numPr>
                <w:ilvl w:val="0"/>
                <w:numId w:val="0"/>
              </w:numPr>
              <w:spacing w:after="60"/>
            </w:pPr>
            <w:r>
              <w:t xml:space="preserve">We will need to make links to draw in and address the needs of the early career researcher </w:t>
            </w:r>
            <w:r w:rsidR="00532B61">
              <w:t>especially with grant writing events.</w:t>
            </w:r>
          </w:p>
          <w:p w:rsidR="00F12132" w:rsidRDefault="00532B61" w:rsidP="005E5029">
            <w:pPr>
              <w:pStyle w:val="AgendaItem"/>
              <w:numPr>
                <w:ilvl w:val="0"/>
                <w:numId w:val="0"/>
              </w:numPr>
              <w:spacing w:after="60"/>
            </w:pPr>
            <w:r>
              <w:t>The opportunities for making use of data during the life of the research were discussed in the context of training.  One possibility was the use of data in the upgrade process</w:t>
            </w:r>
            <w:r w:rsidR="00F12132">
              <w:t xml:space="preserve"> </w:t>
            </w:r>
            <w:r>
              <w:t>and this had been considered. Issues related to this include privacy, how the data might be presented, how it would be used.  If this were to develop it would impact on the training and emphasise the need to be thinking about the</w:t>
            </w:r>
            <w:r w:rsidR="005E5029">
              <w:t xml:space="preserve"> presentation of the</w:t>
            </w:r>
            <w:r>
              <w:t xml:space="preserve"> data earl</w:t>
            </w:r>
            <w:r w:rsidR="005E5029">
              <w:t>ier</w:t>
            </w:r>
            <w:r>
              <w:t>.  Some felt that arguments should stand in their own right with the data following later.</w:t>
            </w:r>
            <w:r w:rsidR="005E5029">
              <w:t xml:space="preserve"> This might include the publishing of the data alongside the thesis and there were other issues associated with this – should it be separate records/different embargoes.</w:t>
            </w:r>
          </w:p>
          <w:p w:rsidR="002E050A" w:rsidRDefault="002E050A" w:rsidP="005E5029">
            <w:pPr>
              <w:pStyle w:val="AgendaItem"/>
              <w:numPr>
                <w:ilvl w:val="0"/>
                <w:numId w:val="0"/>
              </w:numPr>
              <w:spacing w:after="60"/>
            </w:pPr>
            <w:r>
              <w:t>Progress was still on-going on the development of training for support staff.</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D2398B" w:rsidP="00D2398B">
            <w:pPr>
              <w:pStyle w:val="AgendaItem"/>
              <w:numPr>
                <w:ilvl w:val="0"/>
                <w:numId w:val="0"/>
              </w:numPr>
              <w:spacing w:after="60"/>
              <w:rPr>
                <w:b/>
                <w:bCs/>
              </w:rPr>
            </w:pPr>
            <w:r>
              <w:rPr>
                <w:b/>
                <w:bCs/>
              </w:rPr>
              <w:t xml:space="preserve">Multidisciplinary engagement </w:t>
            </w:r>
          </w:p>
          <w:p w:rsidR="005E5029" w:rsidRDefault="005E5029" w:rsidP="005E5029">
            <w:pPr>
              <w:pStyle w:val="AgendaItem"/>
              <w:numPr>
                <w:ilvl w:val="0"/>
                <w:numId w:val="0"/>
              </w:numPr>
              <w:spacing w:after="60"/>
            </w:pPr>
            <w:r>
              <w:t>The paper on the Imaging case studies was discussed.  This would look at the data type being used, who was using it, what was best practice.  Work had already resulted in the availability of some equipment being made known.</w:t>
            </w:r>
          </w:p>
          <w:p w:rsidR="005E5029" w:rsidRDefault="005E5029" w:rsidP="005E5029">
            <w:pPr>
              <w:pStyle w:val="AgendaItem"/>
              <w:numPr>
                <w:ilvl w:val="0"/>
                <w:numId w:val="0"/>
              </w:numPr>
              <w:spacing w:after="60"/>
            </w:pPr>
            <w:r>
              <w:t xml:space="preserve">The ethics process involved had helped enhance the processes and approach and had demonstrated a need for a stronger link between data management and ethics processes. </w:t>
            </w:r>
          </w:p>
          <w:p w:rsidR="00E8075A" w:rsidRDefault="005E5029" w:rsidP="00E84FC2">
            <w:pPr>
              <w:pStyle w:val="AgendaItem"/>
              <w:numPr>
                <w:ilvl w:val="0"/>
                <w:numId w:val="0"/>
              </w:numPr>
              <w:spacing w:after="60"/>
              <w:rPr>
                <w:rFonts w:ascii="Tahoma" w:hAnsi="Tahoma" w:cs="Tahoma"/>
                <w:color w:val="000000"/>
                <w:sz w:val="20"/>
                <w:szCs w:val="20"/>
              </w:rPr>
            </w:pPr>
            <w:r>
              <w:t>There was a</w:t>
            </w:r>
            <w:r w:rsidR="000B3435">
              <w:t xml:space="preserve"> discussion</w:t>
            </w:r>
            <w:r>
              <w:t xml:space="preserve"> on re-use of data that had been cleared for one purpose being requested for another</w:t>
            </w:r>
            <w:r w:rsidR="000B3435">
              <w:t xml:space="preserve">.  Some people are not really thinking about ethics approval in light of potential re-use. </w:t>
            </w:r>
            <w:r w:rsidR="00E8075A">
              <w:rPr>
                <w:rFonts w:ascii="Tahoma" w:hAnsi="Tahoma" w:cs="Tahoma"/>
                <w:color w:val="000000"/>
                <w:sz w:val="20"/>
                <w:szCs w:val="20"/>
              </w:rPr>
              <w:t>The importance of thinking about ethics approval in light of potential re-use of data and data sharing was noted</w:t>
            </w:r>
            <w:r w:rsidR="00E8075A">
              <w:rPr>
                <w:rFonts w:ascii="Tahoma" w:hAnsi="Tahoma" w:cs="Tahoma"/>
                <w:color w:val="000000"/>
                <w:sz w:val="20"/>
                <w:szCs w:val="20"/>
              </w:rPr>
              <w:t>.</w:t>
            </w:r>
          </w:p>
          <w:p w:rsidR="000B3435" w:rsidRDefault="000B3435" w:rsidP="00E84FC2">
            <w:pPr>
              <w:pStyle w:val="AgendaItem"/>
              <w:numPr>
                <w:ilvl w:val="0"/>
                <w:numId w:val="0"/>
              </w:numPr>
              <w:spacing w:after="60"/>
            </w:pPr>
            <w:r>
              <w:t>Related to this was increasing awareness about other groups who might be interested or able to use the data created.  This meant that recording the assumptions that were made in the creation of the data was important.  Lessons might be learnt from some of the work being carried out by the National Centre for Research Methods and it would be worth looking into this.</w:t>
            </w:r>
          </w:p>
          <w:p w:rsidR="000B2C91" w:rsidRDefault="000B2C91" w:rsidP="000B2C91">
            <w:pPr>
              <w:pStyle w:val="AgendaItem"/>
              <w:numPr>
                <w:ilvl w:val="0"/>
                <w:numId w:val="0"/>
              </w:numPr>
              <w:spacing w:after="60"/>
            </w:pPr>
            <w:r>
              <w:t>There was also work on the visualisation of social science data.</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ED3BCF" w:rsidP="00ED3BCF">
            <w:pPr>
              <w:pStyle w:val="AgendaItem"/>
              <w:numPr>
                <w:ilvl w:val="0"/>
                <w:numId w:val="0"/>
              </w:numPr>
              <w:spacing w:after="60"/>
              <w:rPr>
                <w:b/>
                <w:bCs/>
              </w:rPr>
            </w:pPr>
            <w:r>
              <w:rPr>
                <w:b/>
                <w:bCs/>
              </w:rPr>
              <w:t>Data Catalogue and Storage</w:t>
            </w:r>
          </w:p>
          <w:p w:rsidR="002E050A" w:rsidRDefault="002E050A" w:rsidP="002E050A">
            <w:pPr>
              <w:pStyle w:val="AgendaItem"/>
              <w:numPr>
                <w:ilvl w:val="0"/>
                <w:numId w:val="0"/>
              </w:numPr>
              <w:spacing w:after="60"/>
            </w:pPr>
            <w:r>
              <w:t xml:space="preserve">The development in SharePoint and ePrints were outlined. </w:t>
            </w:r>
            <w:proofErr w:type="gramStart"/>
            <w:r>
              <w:t>ePrints</w:t>
            </w:r>
            <w:proofErr w:type="gramEnd"/>
            <w:r>
              <w:t xml:space="preserve"> Soton would become the data catalogue for the University.</w:t>
            </w:r>
          </w:p>
          <w:p w:rsidR="00E8075A" w:rsidRDefault="002E050A" w:rsidP="002E050A">
            <w:pPr>
              <w:pStyle w:val="AgendaItem"/>
              <w:numPr>
                <w:ilvl w:val="0"/>
                <w:numId w:val="0"/>
              </w:numPr>
              <w:spacing w:after="60"/>
              <w:rPr>
                <w:rFonts w:ascii="Tahoma" w:hAnsi="Tahoma" w:cs="Tahoma"/>
                <w:color w:val="000000"/>
                <w:sz w:val="20"/>
                <w:szCs w:val="20"/>
              </w:rPr>
            </w:pPr>
            <w:r>
              <w:t xml:space="preserve">There were two very different examples of storage offers – Edinburgh and Bristol.  There seems to be no coherent view in HE on the best way forward.  </w:t>
            </w:r>
            <w:r w:rsidR="00E8075A">
              <w:rPr>
                <w:rFonts w:ascii="Tahoma" w:hAnsi="Tahoma" w:cs="Tahoma"/>
                <w:color w:val="000000"/>
                <w:sz w:val="20"/>
                <w:szCs w:val="20"/>
              </w:rPr>
              <w:t xml:space="preserve">We are currently building a case for service development and investment priorities. Work is under way with Associate Deans Research to obtain robust requirements information </w:t>
            </w:r>
          </w:p>
          <w:p w:rsidR="002E050A" w:rsidRDefault="002E050A" w:rsidP="002E050A">
            <w:pPr>
              <w:pStyle w:val="AgendaItem"/>
              <w:numPr>
                <w:ilvl w:val="0"/>
                <w:numId w:val="0"/>
              </w:numPr>
              <w:spacing w:after="60"/>
            </w:pPr>
            <w:r>
              <w:t>Who does what is funder specific with some councils offering full or partial storage for data.  It was not clear that NERC stored all data at the moment and that was an issue.</w:t>
            </w:r>
          </w:p>
          <w:p w:rsidR="002E050A" w:rsidRDefault="0060503C" w:rsidP="002E050A">
            <w:pPr>
              <w:pStyle w:val="AgendaItem"/>
              <w:numPr>
                <w:ilvl w:val="0"/>
                <w:numId w:val="0"/>
              </w:numPr>
              <w:spacing w:after="60"/>
            </w:pPr>
            <w:r>
              <w:t xml:space="preserve">The issue of significance was discussed.  Some data is almost always unique e.g. environmental </w:t>
            </w:r>
            <w:proofErr w:type="gramStart"/>
            <w:r>
              <w:t>data,</w:t>
            </w:r>
            <w:proofErr w:type="gramEnd"/>
            <w:r>
              <w:t xml:space="preserve"> some data might take 20+ years to become relevant, e.g. longitudinal studies data.</w:t>
            </w:r>
          </w:p>
          <w:p w:rsidR="0060503C" w:rsidRDefault="0060503C" w:rsidP="002E050A">
            <w:pPr>
              <w:pStyle w:val="AgendaItem"/>
              <w:numPr>
                <w:ilvl w:val="0"/>
                <w:numId w:val="0"/>
              </w:numPr>
              <w:spacing w:after="60"/>
            </w:pPr>
            <w:r>
              <w:t>Need to consider the curation required and if there are different levels. Some data just needs to be catalogued; some needs curation and additional metadata. All key to the costs associated with data management.</w:t>
            </w:r>
          </w:p>
          <w:p w:rsidR="0060503C" w:rsidRDefault="0060503C" w:rsidP="002E050A">
            <w:pPr>
              <w:pStyle w:val="AgendaItem"/>
              <w:numPr>
                <w:ilvl w:val="0"/>
                <w:numId w:val="0"/>
              </w:numPr>
              <w:spacing w:after="60"/>
            </w:pPr>
            <w:r>
              <w:t>Storage needs to be able to link data and code and syntax to make the data re-usable.</w:t>
            </w:r>
          </w:p>
          <w:p w:rsidR="00CE40D1" w:rsidRPr="002E050A" w:rsidRDefault="00CE40D1" w:rsidP="002E050A">
            <w:pPr>
              <w:pStyle w:val="AgendaItem"/>
              <w:numPr>
                <w:ilvl w:val="0"/>
                <w:numId w:val="0"/>
              </w:numPr>
              <w:spacing w:after="60"/>
            </w:pPr>
            <w:bookmarkStart w:id="0" w:name="_GoBack"/>
            <w:bookmarkEnd w:id="0"/>
          </w:p>
        </w:tc>
      </w:tr>
      <w:tr w:rsidR="00ED3BCF"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ED3BCF" w:rsidRPr="00254722" w:rsidRDefault="00ED3BCF" w:rsidP="005F5A93">
            <w:pPr>
              <w:pStyle w:val="AgendaItem"/>
            </w:pPr>
          </w:p>
        </w:tc>
        <w:tc>
          <w:tcPr>
            <w:tcW w:w="9123" w:type="dxa"/>
            <w:gridSpan w:val="4"/>
          </w:tcPr>
          <w:p w:rsidR="00ED3BCF" w:rsidRDefault="00ED3BCF" w:rsidP="001D12E5">
            <w:pPr>
              <w:pStyle w:val="AgendaItem"/>
              <w:numPr>
                <w:ilvl w:val="0"/>
                <w:numId w:val="0"/>
              </w:numPr>
              <w:spacing w:after="60"/>
              <w:rPr>
                <w:b/>
                <w:bCs/>
              </w:rPr>
            </w:pPr>
            <w:r>
              <w:rPr>
                <w:b/>
                <w:bCs/>
              </w:rPr>
              <w:t>Linked initiatives for the next phase</w:t>
            </w:r>
          </w:p>
          <w:p w:rsidR="0060503C" w:rsidRDefault="0060503C" w:rsidP="001D12E5">
            <w:pPr>
              <w:pStyle w:val="AgendaItem"/>
              <w:numPr>
                <w:ilvl w:val="0"/>
                <w:numId w:val="0"/>
              </w:numPr>
              <w:spacing w:after="60"/>
            </w:pPr>
            <w:r>
              <w:t>There was a review of the Web Observatory</w:t>
            </w:r>
            <w:r w:rsidR="003B1CCC">
              <w:t>,</w:t>
            </w:r>
            <w:r>
              <w:t xml:space="preserve"> a data preservation and archive facility.</w:t>
            </w:r>
          </w:p>
          <w:p w:rsidR="003B1CCC" w:rsidRDefault="003B1CCC" w:rsidP="003B1CCC">
            <w:pPr>
              <w:pStyle w:val="AgendaItem"/>
              <w:numPr>
                <w:ilvl w:val="0"/>
                <w:numId w:val="0"/>
              </w:numPr>
              <w:spacing w:after="60"/>
            </w:pPr>
            <w:r>
              <w:t xml:space="preserve">Another linked development was </w:t>
            </w:r>
            <w:proofErr w:type="spellStart"/>
            <w:r>
              <w:t>LabTrove</w:t>
            </w:r>
            <w:proofErr w:type="spellEnd"/>
            <w:r>
              <w:t>, an open software electronic laboratory notebook.  This was a highly collaborative piece of software and researcher centric.  It would provide the option of a URI in the lab book and dataset. It was hoped that it would be available as an open source and as a commercial product.</w:t>
            </w:r>
          </w:p>
          <w:p w:rsidR="0060503C" w:rsidRPr="0060503C" w:rsidRDefault="003B1CCC" w:rsidP="00853792">
            <w:pPr>
              <w:pStyle w:val="AgendaItem"/>
              <w:numPr>
                <w:ilvl w:val="0"/>
                <w:numId w:val="0"/>
              </w:numPr>
              <w:spacing w:after="60"/>
            </w:pPr>
            <w:r>
              <w:t xml:space="preserve">DOI minting is being investigated using </w:t>
            </w:r>
            <w:proofErr w:type="spellStart"/>
            <w:r>
              <w:t>DataCite</w:t>
            </w:r>
            <w:proofErr w:type="spellEnd"/>
            <w:r>
              <w:t xml:space="preserve">, initially on </w:t>
            </w:r>
            <w:proofErr w:type="spellStart"/>
            <w:r>
              <w:t>eCrystals</w:t>
            </w:r>
            <w:proofErr w:type="spellEnd"/>
            <w:r>
              <w:t xml:space="preserve"> but would be rolled out for use on ePrints. Work would be required on what should or should not be allocated a DOI.</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Pr="00ED3BCF" w:rsidRDefault="00ED3BCF" w:rsidP="00ED3BCF">
            <w:pPr>
              <w:pStyle w:val="AgendaItem"/>
              <w:numPr>
                <w:ilvl w:val="0"/>
                <w:numId w:val="0"/>
              </w:numPr>
              <w:spacing w:after="60"/>
              <w:rPr>
                <w:b/>
                <w:bCs/>
              </w:rPr>
            </w:pPr>
            <w:r w:rsidRPr="00ED3BCF">
              <w:rPr>
                <w:b/>
                <w:bCs/>
              </w:rPr>
              <w:t>AOB</w:t>
            </w:r>
          </w:p>
        </w:tc>
      </w:tr>
      <w:tr w:rsidR="002436F4" w:rsidTr="002436F4">
        <w:tblPrEx>
          <w:tblBorders>
            <w:left w:val="single" w:sz="4" w:space="0" w:color="auto"/>
            <w:right w:val="single" w:sz="4" w:space="0" w:color="auto"/>
            <w:insideV w:val="single" w:sz="4" w:space="0" w:color="auto"/>
          </w:tblBorders>
          <w:tblCellMar>
            <w:top w:w="113" w:type="dxa"/>
            <w:left w:w="113" w:type="dxa"/>
            <w:bottom w:w="113" w:type="dxa"/>
            <w:right w:w="113" w:type="dxa"/>
          </w:tblCellMar>
        </w:tblPrEx>
        <w:tc>
          <w:tcPr>
            <w:tcW w:w="516" w:type="dxa"/>
          </w:tcPr>
          <w:p w:rsidR="002436F4" w:rsidRPr="00254722" w:rsidRDefault="002436F4" w:rsidP="005F5A93">
            <w:pPr>
              <w:pStyle w:val="AgendaItem"/>
            </w:pPr>
          </w:p>
        </w:tc>
        <w:tc>
          <w:tcPr>
            <w:tcW w:w="9123" w:type="dxa"/>
            <w:gridSpan w:val="4"/>
          </w:tcPr>
          <w:p w:rsidR="002436F4" w:rsidRDefault="002436F4" w:rsidP="00D2398B">
            <w:pPr>
              <w:pStyle w:val="AgendaItem"/>
              <w:numPr>
                <w:ilvl w:val="0"/>
                <w:numId w:val="0"/>
              </w:numPr>
              <w:spacing w:after="60"/>
            </w:pPr>
            <w:r>
              <w:t>Date of Next Meeting</w:t>
            </w:r>
            <w:r w:rsidR="009F5017">
              <w:t xml:space="preserve"> 12</w:t>
            </w:r>
            <w:r w:rsidR="009F5017" w:rsidRPr="009F5017">
              <w:rPr>
                <w:vertAlign w:val="superscript"/>
              </w:rPr>
              <w:t>th</w:t>
            </w:r>
            <w:r w:rsidR="009F5017">
              <w:t xml:space="preserve"> </w:t>
            </w:r>
            <w:r w:rsidR="00D2398B">
              <w:t>March 2013</w:t>
            </w:r>
          </w:p>
        </w:tc>
      </w:tr>
    </w:tbl>
    <w:p w:rsidR="009464AF" w:rsidRDefault="009464AF" w:rsidP="009464AF"/>
    <w:sectPr w:rsidR="009464AF" w:rsidSect="00695D76">
      <w:footerReference w:type="default" r:id="rId9"/>
      <w:headerReference w:type="first" r:id="rId10"/>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69" w:rsidRDefault="00D47169">
      <w:r>
        <w:separator/>
      </w:r>
    </w:p>
    <w:p w:rsidR="00D47169" w:rsidRDefault="00D47169"/>
  </w:endnote>
  <w:endnote w:type="continuationSeparator" w:id="0">
    <w:p w:rsidR="00D47169" w:rsidRDefault="00D47169">
      <w:r>
        <w:continuationSeparator/>
      </w:r>
    </w:p>
    <w:p w:rsidR="00D47169" w:rsidRDefault="00D4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169" w:rsidRDefault="00D47169" w:rsidP="00913ED1">
    <w:pPr>
      <w:pStyle w:val="ContinuationFooter"/>
    </w:pPr>
    <w:r>
      <w:fldChar w:fldCharType="begin"/>
    </w:r>
    <w:r>
      <w:instrText xml:space="preserve"> page </w:instrText>
    </w:r>
    <w:r>
      <w:fldChar w:fldCharType="separate"/>
    </w:r>
    <w:r w:rsidR="00CE40D1">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69" w:rsidRDefault="00D47169">
      <w:r>
        <w:separator/>
      </w:r>
    </w:p>
    <w:p w:rsidR="00D47169" w:rsidRDefault="00D47169"/>
  </w:footnote>
  <w:footnote w:type="continuationSeparator" w:id="0">
    <w:p w:rsidR="00D47169" w:rsidRDefault="00D47169">
      <w:r>
        <w:continuationSeparator/>
      </w:r>
    </w:p>
    <w:p w:rsidR="00D47169" w:rsidRDefault="00D47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D47169" w:rsidTr="00854B1E">
      <w:trPr>
        <w:trHeight w:hRule="exact" w:val="227"/>
      </w:trPr>
      <w:tc>
        <w:tcPr>
          <w:tcW w:w="9639" w:type="dxa"/>
        </w:tcPr>
        <w:p w:rsidR="00D47169" w:rsidRDefault="00D47169" w:rsidP="0029789A">
          <w:pPr>
            <w:pStyle w:val="Header"/>
          </w:pPr>
        </w:p>
      </w:tc>
    </w:tr>
    <w:tr w:rsidR="00D47169" w:rsidTr="00854B1E">
      <w:trPr>
        <w:trHeight w:val="1571"/>
      </w:trPr>
      <w:tc>
        <w:tcPr>
          <w:tcW w:w="9639" w:type="dxa"/>
        </w:tcPr>
        <w:p w:rsidR="00D47169" w:rsidRDefault="00D47169" w:rsidP="0029789A">
          <w:pPr>
            <w:pStyle w:val="Header"/>
            <w:jc w:val="right"/>
          </w:pPr>
          <w:r>
            <w:rPr>
              <w:noProof/>
              <w:lang w:eastAsia="zh-CN"/>
            </w:rPr>
            <w:drawing>
              <wp:inline distT="0" distB="0" distL="0" distR="0" wp14:anchorId="61C511CC" wp14:editId="6048A922">
                <wp:extent cx="1981200" cy="428625"/>
                <wp:effectExtent l="0" t="0" r="0" b="952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tc>
    </w:tr>
  </w:tbl>
  <w:p w:rsidR="00D47169" w:rsidRPr="0029789A" w:rsidRDefault="00D47169" w:rsidP="0082020C">
    <w:pPr>
      <w:pStyle w:val="DocTitle"/>
    </w:pPr>
    <w: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621D28"/>
    <w:lvl w:ilvl="0">
      <w:start w:val="1"/>
      <w:numFmt w:val="decimal"/>
      <w:lvlText w:val="%1."/>
      <w:lvlJc w:val="left"/>
      <w:pPr>
        <w:tabs>
          <w:tab w:val="num" w:pos="1492"/>
        </w:tabs>
        <w:ind w:left="1492" w:hanging="360"/>
      </w:pPr>
    </w:lvl>
  </w:abstractNum>
  <w:abstractNum w:abstractNumId="1">
    <w:nsid w:val="FFFFFF7D"/>
    <w:multiLevelType w:val="singleLevel"/>
    <w:tmpl w:val="651445A8"/>
    <w:lvl w:ilvl="0">
      <w:start w:val="1"/>
      <w:numFmt w:val="decimal"/>
      <w:lvlText w:val="%1."/>
      <w:lvlJc w:val="left"/>
      <w:pPr>
        <w:tabs>
          <w:tab w:val="num" w:pos="1209"/>
        </w:tabs>
        <w:ind w:left="1209" w:hanging="360"/>
      </w:pPr>
    </w:lvl>
  </w:abstractNum>
  <w:abstractNum w:abstractNumId="2">
    <w:nsid w:val="FFFFFF7E"/>
    <w:multiLevelType w:val="singleLevel"/>
    <w:tmpl w:val="54B88728"/>
    <w:lvl w:ilvl="0">
      <w:start w:val="1"/>
      <w:numFmt w:val="decimal"/>
      <w:lvlText w:val="%1."/>
      <w:lvlJc w:val="left"/>
      <w:pPr>
        <w:tabs>
          <w:tab w:val="num" w:pos="926"/>
        </w:tabs>
        <w:ind w:left="926" w:hanging="360"/>
      </w:pPr>
    </w:lvl>
  </w:abstractNum>
  <w:abstractNum w:abstractNumId="3">
    <w:nsid w:val="FFFFFF7F"/>
    <w:multiLevelType w:val="singleLevel"/>
    <w:tmpl w:val="2200B7F2"/>
    <w:lvl w:ilvl="0">
      <w:start w:val="1"/>
      <w:numFmt w:val="decimal"/>
      <w:lvlText w:val="%1."/>
      <w:lvlJc w:val="left"/>
      <w:pPr>
        <w:tabs>
          <w:tab w:val="num" w:pos="643"/>
        </w:tabs>
        <w:ind w:left="643" w:hanging="360"/>
      </w:pPr>
    </w:lvl>
  </w:abstractNum>
  <w:abstractNum w:abstractNumId="4">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8A892"/>
    <w:lvl w:ilvl="0">
      <w:start w:val="1"/>
      <w:numFmt w:val="decimal"/>
      <w:lvlText w:val="%1."/>
      <w:lvlJc w:val="left"/>
      <w:pPr>
        <w:tabs>
          <w:tab w:val="num" w:pos="360"/>
        </w:tabs>
        <w:ind w:left="360" w:hanging="360"/>
      </w:pPr>
    </w:lvl>
  </w:abstractNum>
  <w:abstractNum w:abstractNumId="9">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nsid w:val="06504FEB"/>
    <w:multiLevelType w:val="hybridMultilevel"/>
    <w:tmpl w:val="41F2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E87A98"/>
    <w:multiLevelType w:val="hybridMultilevel"/>
    <w:tmpl w:val="CDD02128"/>
    <w:lvl w:ilvl="0" w:tplc="D30271B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4">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3E14175"/>
    <w:multiLevelType w:val="hybridMultilevel"/>
    <w:tmpl w:val="AE58170E"/>
    <w:lvl w:ilvl="0" w:tplc="11BA498C">
      <w:start w:val="1"/>
      <w:numFmt w:val="decimal"/>
      <w:pStyle w:val="AgendaItem"/>
      <w:lvlText w:val="%1."/>
      <w:lvlJc w:val="left"/>
      <w:pPr>
        <w:tabs>
          <w:tab w:val="num" w:pos="340"/>
        </w:tabs>
        <w:ind w:left="340" w:hanging="3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FA52803"/>
    <w:multiLevelType w:val="hybridMultilevel"/>
    <w:tmpl w:val="7FD46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5">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A7E29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AF1B8A"/>
    <w:multiLevelType w:val="hybridMultilevel"/>
    <w:tmpl w:val="87125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9">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4">
    <w:nsid w:val="7BEA1DB3"/>
    <w:multiLevelType w:val="hybridMultilevel"/>
    <w:tmpl w:val="17A0AD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7">
    <w:nsid w:val="7FB92B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3"/>
  </w:num>
  <w:num w:numId="2">
    <w:abstractNumId w:val="33"/>
  </w:num>
  <w:num w:numId="3">
    <w:abstractNumId w:val="14"/>
  </w:num>
  <w:num w:numId="4">
    <w:abstractNumId w:val="15"/>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0"/>
  </w:num>
  <w:num w:numId="18">
    <w:abstractNumId w:val="31"/>
  </w:num>
  <w:num w:numId="19">
    <w:abstractNumId w:val="27"/>
  </w:num>
  <w:num w:numId="20">
    <w:abstractNumId w:val="25"/>
  </w:num>
  <w:num w:numId="21">
    <w:abstractNumId w:val="42"/>
  </w:num>
  <w:num w:numId="22">
    <w:abstractNumId w:val="32"/>
  </w:num>
  <w:num w:numId="23">
    <w:abstractNumId w:val="29"/>
  </w:num>
  <w:num w:numId="24">
    <w:abstractNumId w:val="18"/>
  </w:num>
  <w:num w:numId="25">
    <w:abstractNumId w:val="41"/>
  </w:num>
  <w:num w:numId="26">
    <w:abstractNumId w:val="24"/>
  </w:num>
  <w:num w:numId="27">
    <w:abstractNumId w:val="30"/>
  </w:num>
  <w:num w:numId="28">
    <w:abstractNumId w:val="16"/>
  </w:num>
  <w:num w:numId="29">
    <w:abstractNumId w:val="19"/>
  </w:num>
  <w:num w:numId="30">
    <w:abstractNumId w:val="10"/>
  </w:num>
  <w:num w:numId="31">
    <w:abstractNumId w:val="40"/>
  </w:num>
  <w:num w:numId="32">
    <w:abstractNumId w:val="39"/>
  </w:num>
  <w:num w:numId="33">
    <w:abstractNumId w:val="38"/>
  </w:num>
  <w:num w:numId="34">
    <w:abstractNumId w:val="23"/>
  </w:num>
  <w:num w:numId="35">
    <w:abstractNumId w:val="11"/>
  </w:num>
  <w:num w:numId="36">
    <w:abstractNumId w:val="22"/>
  </w:num>
  <w:num w:numId="37">
    <w:abstractNumId w:val="34"/>
  </w:num>
  <w:num w:numId="38">
    <w:abstractNumId w:val="46"/>
  </w:num>
  <w:num w:numId="39">
    <w:abstractNumId w:val="35"/>
  </w:num>
  <w:num w:numId="40">
    <w:abstractNumId w:val="26"/>
  </w:num>
  <w:num w:numId="41">
    <w:abstractNumId w:val="45"/>
  </w:num>
  <w:num w:numId="42">
    <w:abstractNumId w:val="36"/>
  </w:num>
  <w:num w:numId="43">
    <w:abstractNumId w:val="47"/>
  </w:num>
  <w:num w:numId="44">
    <w:abstractNumId w:val="12"/>
  </w:num>
  <w:num w:numId="45">
    <w:abstractNumId w:val="28"/>
  </w:num>
  <w:num w:numId="46">
    <w:abstractNumId w:val="44"/>
  </w:num>
  <w:num w:numId="47">
    <w:abstractNumId w:val="3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E5"/>
    <w:rsid w:val="0000043D"/>
    <w:rsid w:val="00015087"/>
    <w:rsid w:val="00057363"/>
    <w:rsid w:val="00063081"/>
    <w:rsid w:val="00071653"/>
    <w:rsid w:val="000824F4"/>
    <w:rsid w:val="000978E8"/>
    <w:rsid w:val="000B2C91"/>
    <w:rsid w:val="000B3435"/>
    <w:rsid w:val="000F607B"/>
    <w:rsid w:val="0012291A"/>
    <w:rsid w:val="00127024"/>
    <w:rsid w:val="0013408A"/>
    <w:rsid w:val="001744A7"/>
    <w:rsid w:val="001779EA"/>
    <w:rsid w:val="0018144C"/>
    <w:rsid w:val="001840EA"/>
    <w:rsid w:val="001A1C4D"/>
    <w:rsid w:val="001A2C04"/>
    <w:rsid w:val="001A385F"/>
    <w:rsid w:val="001C5C5C"/>
    <w:rsid w:val="001D0B37"/>
    <w:rsid w:val="001D12E5"/>
    <w:rsid w:val="001D5201"/>
    <w:rsid w:val="00205A31"/>
    <w:rsid w:val="00236BFE"/>
    <w:rsid w:val="00241441"/>
    <w:rsid w:val="002436F4"/>
    <w:rsid w:val="0024539C"/>
    <w:rsid w:val="002535CF"/>
    <w:rsid w:val="00254722"/>
    <w:rsid w:val="002547F5"/>
    <w:rsid w:val="00260333"/>
    <w:rsid w:val="00260B1D"/>
    <w:rsid w:val="00270E24"/>
    <w:rsid w:val="0029789A"/>
    <w:rsid w:val="002A70BE"/>
    <w:rsid w:val="002C6198"/>
    <w:rsid w:val="002D02B2"/>
    <w:rsid w:val="002D4DF4"/>
    <w:rsid w:val="002E050A"/>
    <w:rsid w:val="003010B5"/>
    <w:rsid w:val="00313CC8"/>
    <w:rsid w:val="003178D9"/>
    <w:rsid w:val="0034151E"/>
    <w:rsid w:val="00364B2C"/>
    <w:rsid w:val="003701F7"/>
    <w:rsid w:val="00381517"/>
    <w:rsid w:val="003B0262"/>
    <w:rsid w:val="003B1CCC"/>
    <w:rsid w:val="003F76A9"/>
    <w:rsid w:val="004109A0"/>
    <w:rsid w:val="0042261B"/>
    <w:rsid w:val="00434A09"/>
    <w:rsid w:val="00437B59"/>
    <w:rsid w:val="00463797"/>
    <w:rsid w:val="00474D00"/>
    <w:rsid w:val="004832A9"/>
    <w:rsid w:val="004A4A9E"/>
    <w:rsid w:val="004B2A50"/>
    <w:rsid w:val="004D157F"/>
    <w:rsid w:val="0051744C"/>
    <w:rsid w:val="00524005"/>
    <w:rsid w:val="00532B61"/>
    <w:rsid w:val="00541CE0"/>
    <w:rsid w:val="005534E1"/>
    <w:rsid w:val="005949FA"/>
    <w:rsid w:val="00594E20"/>
    <w:rsid w:val="005D44D1"/>
    <w:rsid w:val="005D76F1"/>
    <w:rsid w:val="005E5029"/>
    <w:rsid w:val="005F5A93"/>
    <w:rsid w:val="005F63F8"/>
    <w:rsid w:val="0060503C"/>
    <w:rsid w:val="006249FD"/>
    <w:rsid w:val="00652F63"/>
    <w:rsid w:val="00695D76"/>
    <w:rsid w:val="006B02EA"/>
    <w:rsid w:val="006D492A"/>
    <w:rsid w:val="0070376B"/>
    <w:rsid w:val="00741E8C"/>
    <w:rsid w:val="00741FF7"/>
    <w:rsid w:val="00743CEF"/>
    <w:rsid w:val="007554AE"/>
    <w:rsid w:val="007603EE"/>
    <w:rsid w:val="00761108"/>
    <w:rsid w:val="00784C0D"/>
    <w:rsid w:val="00787B78"/>
    <w:rsid w:val="0079197B"/>
    <w:rsid w:val="0079273B"/>
    <w:rsid w:val="007C6FAA"/>
    <w:rsid w:val="007E2D19"/>
    <w:rsid w:val="007F2AEA"/>
    <w:rsid w:val="00813A2C"/>
    <w:rsid w:val="0082020C"/>
    <w:rsid w:val="0082075E"/>
    <w:rsid w:val="00826517"/>
    <w:rsid w:val="008365C3"/>
    <w:rsid w:val="0084720E"/>
    <w:rsid w:val="00853792"/>
    <w:rsid w:val="00854B1E"/>
    <w:rsid w:val="00856B8A"/>
    <w:rsid w:val="008635FF"/>
    <w:rsid w:val="00883499"/>
    <w:rsid w:val="0089283D"/>
    <w:rsid w:val="008C55C0"/>
    <w:rsid w:val="008F281F"/>
    <w:rsid w:val="008F3D74"/>
    <w:rsid w:val="00913ED1"/>
    <w:rsid w:val="00924D0A"/>
    <w:rsid w:val="00935919"/>
    <w:rsid w:val="00942D1A"/>
    <w:rsid w:val="00945F4B"/>
    <w:rsid w:val="009464AF"/>
    <w:rsid w:val="0096278B"/>
    <w:rsid w:val="00965BFB"/>
    <w:rsid w:val="00970E28"/>
    <w:rsid w:val="0099537A"/>
    <w:rsid w:val="009A6A59"/>
    <w:rsid w:val="009F5017"/>
    <w:rsid w:val="00A021B7"/>
    <w:rsid w:val="00A131D9"/>
    <w:rsid w:val="00A23226"/>
    <w:rsid w:val="00A34296"/>
    <w:rsid w:val="00A471E3"/>
    <w:rsid w:val="00A521A9"/>
    <w:rsid w:val="00A66EA4"/>
    <w:rsid w:val="00A87512"/>
    <w:rsid w:val="00A925C0"/>
    <w:rsid w:val="00AA3CB5"/>
    <w:rsid w:val="00AC2B17"/>
    <w:rsid w:val="00AE1CA0"/>
    <w:rsid w:val="00AE39DC"/>
    <w:rsid w:val="00AE4DC4"/>
    <w:rsid w:val="00B52B31"/>
    <w:rsid w:val="00B763CD"/>
    <w:rsid w:val="00B84C12"/>
    <w:rsid w:val="00B857CE"/>
    <w:rsid w:val="00B92FA9"/>
    <w:rsid w:val="00BA594C"/>
    <w:rsid w:val="00BB4A42"/>
    <w:rsid w:val="00BD14F7"/>
    <w:rsid w:val="00BF1CC6"/>
    <w:rsid w:val="00C0124A"/>
    <w:rsid w:val="00C069C7"/>
    <w:rsid w:val="00C42B1E"/>
    <w:rsid w:val="00C50119"/>
    <w:rsid w:val="00C60DAF"/>
    <w:rsid w:val="00C70CA3"/>
    <w:rsid w:val="00C907D0"/>
    <w:rsid w:val="00CB1261"/>
    <w:rsid w:val="00CD04F0"/>
    <w:rsid w:val="00CD3C6C"/>
    <w:rsid w:val="00CE1400"/>
    <w:rsid w:val="00CE3A26"/>
    <w:rsid w:val="00CE40D1"/>
    <w:rsid w:val="00CF3081"/>
    <w:rsid w:val="00D16D9D"/>
    <w:rsid w:val="00D2398B"/>
    <w:rsid w:val="00D31658"/>
    <w:rsid w:val="00D47169"/>
    <w:rsid w:val="00D54AA2"/>
    <w:rsid w:val="00D5587F"/>
    <w:rsid w:val="00D65B56"/>
    <w:rsid w:val="00D67D41"/>
    <w:rsid w:val="00D769DD"/>
    <w:rsid w:val="00DB1253"/>
    <w:rsid w:val="00DB6E43"/>
    <w:rsid w:val="00E25775"/>
    <w:rsid w:val="00E500B2"/>
    <w:rsid w:val="00E63AC1"/>
    <w:rsid w:val="00E6728D"/>
    <w:rsid w:val="00E74BFC"/>
    <w:rsid w:val="00E8075A"/>
    <w:rsid w:val="00E84FC2"/>
    <w:rsid w:val="00E93221"/>
    <w:rsid w:val="00ED3BCF"/>
    <w:rsid w:val="00ED7D0B"/>
    <w:rsid w:val="00F12132"/>
    <w:rsid w:val="00F16166"/>
    <w:rsid w:val="00F1702C"/>
    <w:rsid w:val="00F314A9"/>
    <w:rsid w:val="00F85DED"/>
    <w:rsid w:val="00F90F90"/>
    <w:rsid w:val="00FB1059"/>
    <w:rsid w:val="00FC2ADA"/>
    <w:rsid w:val="00FC4B8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B56"/>
    <w:pPr>
      <w:spacing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1779EA"/>
    <w:pPr>
      <w:spacing w:after="60"/>
    </w:pPr>
    <w:rPr>
      <w:rFonts w:ascii="Georgia" w:hAnsi="Georgia"/>
      <w:color w:val="808080"/>
      <w:sz w:val="60"/>
    </w:rPr>
  </w:style>
  <w:style w:type="paragraph" w:customStyle="1" w:styleId="DocSubtitle">
    <w:name w:val="DocSubtitle"/>
    <w:basedOn w:val="DocTitle"/>
    <w:rsid w:val="00241441"/>
    <w:pPr>
      <w:spacing w:before="240" w:after="12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DB6E43"/>
    <w:pPr>
      <w:numPr>
        <w:numId w:val="40"/>
      </w:numPr>
    </w:pPr>
  </w:style>
  <w:style w:type="paragraph" w:customStyle="1" w:styleId="Address">
    <w:name w:val="Address"/>
    <w:basedOn w:val="Normal"/>
    <w:rsid w:val="005D44D1"/>
  </w:style>
  <w:style w:type="paragraph" w:customStyle="1" w:styleId="ContinuationFooter">
    <w:name w:val="Continuation Footer"/>
    <w:basedOn w:val="Footer"/>
    <w:rsid w:val="00913ED1"/>
    <w:rPr>
      <w:noProof/>
      <w:szCs w:val="17"/>
    </w:rPr>
  </w:style>
  <w:style w:type="paragraph" w:styleId="ListParagraph">
    <w:name w:val="List Paragraph"/>
    <w:basedOn w:val="Normal"/>
    <w:uiPriority w:val="34"/>
    <w:qFormat/>
    <w:rsid w:val="00A87512"/>
    <w:pPr>
      <w:ind w:left="720"/>
      <w:contextualSpacing/>
    </w:pPr>
  </w:style>
  <w:style w:type="character" w:styleId="Hyperlink">
    <w:name w:val="Hyperlink"/>
    <w:basedOn w:val="DefaultParagraphFont"/>
    <w:rsid w:val="00652F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B56"/>
    <w:pPr>
      <w:spacing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1779EA"/>
    <w:pPr>
      <w:spacing w:after="60"/>
    </w:pPr>
    <w:rPr>
      <w:rFonts w:ascii="Georgia" w:hAnsi="Georgia"/>
      <w:color w:val="808080"/>
      <w:sz w:val="60"/>
    </w:rPr>
  </w:style>
  <w:style w:type="paragraph" w:customStyle="1" w:styleId="DocSubtitle">
    <w:name w:val="DocSubtitle"/>
    <w:basedOn w:val="DocTitle"/>
    <w:rsid w:val="00241441"/>
    <w:pPr>
      <w:spacing w:before="240" w:after="12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DB6E43"/>
    <w:pPr>
      <w:numPr>
        <w:numId w:val="40"/>
      </w:numPr>
    </w:pPr>
  </w:style>
  <w:style w:type="paragraph" w:customStyle="1" w:styleId="Address">
    <w:name w:val="Address"/>
    <w:basedOn w:val="Normal"/>
    <w:rsid w:val="005D44D1"/>
  </w:style>
  <w:style w:type="paragraph" w:customStyle="1" w:styleId="ContinuationFooter">
    <w:name w:val="Continuation Footer"/>
    <w:basedOn w:val="Footer"/>
    <w:rsid w:val="00913ED1"/>
    <w:rPr>
      <w:noProof/>
      <w:szCs w:val="17"/>
    </w:rPr>
  </w:style>
  <w:style w:type="paragraph" w:styleId="ListParagraph">
    <w:name w:val="List Paragraph"/>
    <w:basedOn w:val="Normal"/>
    <w:uiPriority w:val="34"/>
    <w:qFormat/>
    <w:rsid w:val="00A87512"/>
    <w:pPr>
      <w:ind w:left="720"/>
      <w:contextualSpacing/>
    </w:pPr>
  </w:style>
  <w:style w:type="character" w:styleId="Hyperlink">
    <w:name w:val="Hyperlink"/>
    <w:basedOn w:val="DefaultParagraphFont"/>
    <w:rsid w:val="00652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671586">
      <w:bodyDiv w:val="1"/>
      <w:marLeft w:val="0"/>
      <w:marRight w:val="0"/>
      <w:marTop w:val="0"/>
      <w:marBottom w:val="0"/>
      <w:divBdr>
        <w:top w:val="none" w:sz="0" w:space="0" w:color="auto"/>
        <w:left w:val="none" w:sz="0" w:space="0" w:color="auto"/>
        <w:bottom w:val="none" w:sz="0" w:space="0" w:color="auto"/>
        <w:right w:val="none" w:sz="0" w:space="0" w:color="auto"/>
      </w:divBdr>
      <w:divsChild>
        <w:div w:id="1161580309">
          <w:marLeft w:val="0"/>
          <w:marRight w:val="-3000"/>
          <w:marTop w:val="0"/>
          <w:marBottom w:val="0"/>
          <w:divBdr>
            <w:top w:val="none" w:sz="0" w:space="0" w:color="auto"/>
            <w:left w:val="none" w:sz="0" w:space="0" w:color="auto"/>
            <w:bottom w:val="none" w:sz="0" w:space="0" w:color="auto"/>
            <w:right w:val="none" w:sz="0" w:space="0" w:color="auto"/>
          </w:divBdr>
          <w:divsChild>
            <w:div w:id="1561593184">
              <w:marLeft w:val="0"/>
              <w:marRight w:val="3000"/>
              <w:marTop w:val="0"/>
              <w:marBottom w:val="0"/>
              <w:divBdr>
                <w:top w:val="none" w:sz="0" w:space="0" w:color="auto"/>
                <w:left w:val="none" w:sz="0" w:space="0" w:color="auto"/>
                <w:bottom w:val="none" w:sz="0" w:space="0" w:color="auto"/>
                <w:right w:val="none" w:sz="0" w:space="0" w:color="auto"/>
              </w:divBdr>
              <w:divsChild>
                <w:div w:id="474877095">
                  <w:marLeft w:val="3450"/>
                  <w:marRight w:val="0"/>
                  <w:marTop w:val="825"/>
                  <w:marBottom w:val="0"/>
                  <w:divBdr>
                    <w:top w:val="none" w:sz="0" w:space="0" w:color="auto"/>
                    <w:left w:val="none" w:sz="0" w:space="0" w:color="auto"/>
                    <w:bottom w:val="none" w:sz="0" w:space="0" w:color="auto"/>
                    <w:right w:val="none" w:sz="0" w:space="0" w:color="auto"/>
                  </w:divBdr>
                  <w:divsChild>
                    <w:div w:id="1905220945">
                      <w:marLeft w:val="0"/>
                      <w:marRight w:val="0"/>
                      <w:marTop w:val="0"/>
                      <w:marBottom w:val="0"/>
                      <w:divBdr>
                        <w:top w:val="none" w:sz="0" w:space="0" w:color="auto"/>
                        <w:left w:val="none" w:sz="0" w:space="0" w:color="auto"/>
                        <w:bottom w:val="none" w:sz="0" w:space="0" w:color="auto"/>
                        <w:right w:val="none" w:sz="0" w:space="0" w:color="auto"/>
                      </w:divBdr>
                      <w:divsChild>
                        <w:div w:id="19468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yalsociety.org/policy/projects/science-public-enterprise/repor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Minutes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SU_Minutes_template.dot</Template>
  <TotalTime>19</TotalTime>
  <Pages>3</Pages>
  <Words>1084</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 Minutes template</vt:lpstr>
    </vt:vector>
  </TitlesOfParts>
  <Company>Southampton University</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Minutes template</dc:title>
  <dc:creator>Byatt</dc:creator>
  <cp:keywords>V0.1</cp:keywords>
  <cp:lastModifiedBy>Byatt</cp:lastModifiedBy>
  <cp:revision>4</cp:revision>
  <cp:lastPrinted>2008-01-14T16:11:00Z</cp:lastPrinted>
  <dcterms:created xsi:type="dcterms:W3CDTF">2013-03-11T09:37:00Z</dcterms:created>
  <dcterms:modified xsi:type="dcterms:W3CDTF">2013-03-11T09:57:00Z</dcterms:modified>
</cp:coreProperties>
</file>